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29279daef97b5730755345d04df5093b37646"/>
    <w:p>
      <w:pPr>
        <w:pStyle w:val="Heading3"/>
      </w:pPr>
      <w:r>
        <w:t xml:space="preserve">Пошаговая инструкция, как пользоваться огнетушителем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rPr>
          <w:bCs/>
          <w:b/>
        </w:rPr>
        <w:t xml:space="preserve">Пошаговая инструкция, как пользоваться огнетушителем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Поднести огнетушитель на минимально возможное и безопасное для тушения пожара расстояние, учитывая, что длина струи огнетушащего вещества составляет 3 м.</w:t>
      </w:r>
    </w:p>
    <w:p>
      <w:pPr>
        <w:numPr>
          <w:ilvl w:val="0"/>
          <w:numId w:val="1001"/>
        </w:numPr>
        <w:pStyle w:val="Compact"/>
      </w:pPr>
      <w:r>
        <w:t xml:space="preserve">Сорвать пломбу на огнетушителе, имеющуюся на запорно-пусковом устройстве.</w:t>
      </w:r>
    </w:p>
    <w:p>
      <w:pPr>
        <w:numPr>
          <w:ilvl w:val="0"/>
          <w:numId w:val="1001"/>
        </w:numPr>
        <w:pStyle w:val="Compact"/>
      </w:pPr>
      <w:r>
        <w:t xml:space="preserve">Выдернуть чеку.</w:t>
      </w:r>
    </w:p>
    <w:p>
      <w:pPr>
        <w:numPr>
          <w:ilvl w:val="0"/>
          <w:numId w:val="1001"/>
        </w:numPr>
        <w:pStyle w:val="Compact"/>
      </w:pPr>
      <w:r>
        <w:t xml:space="preserve">Направить насадку шланга на очаг возгорания.</w:t>
      </w:r>
    </w:p>
    <w:p>
      <w:pPr>
        <w:numPr>
          <w:ilvl w:val="0"/>
          <w:numId w:val="1001"/>
        </w:numPr>
        <w:pStyle w:val="Compact"/>
      </w:pPr>
      <w:r>
        <w:t xml:space="preserve">Нажать курок (рычаг) на огнетушителе.</w:t>
      </w:r>
    </w:p>
    <w:p>
      <w:pPr>
        <w:numPr>
          <w:ilvl w:val="0"/>
          <w:numId w:val="1001"/>
        </w:numPr>
        <w:pStyle w:val="Compact"/>
      </w:pPr>
      <w:r>
        <w:t xml:space="preserve">Подождать 3–5 секунд для приведения огнетушителя в готовность.</w:t>
      </w:r>
    </w:p>
    <w:p>
      <w:pPr>
        <w:numPr>
          <w:ilvl w:val="0"/>
          <w:numId w:val="1001"/>
        </w:numPr>
        <w:pStyle w:val="Compact"/>
      </w:pPr>
      <w:r>
        <w:t xml:space="preserve">При выходе огнетушащего вещества тушить возгорание.</w:t>
      </w:r>
    </w:p>
    <w:p>
      <w:pPr>
        <w:pStyle w:val="FirstParagraph"/>
      </w:pPr>
      <w:r>
        <w:rPr>
          <w:bCs/>
          <w:b/>
        </w:rPr>
        <w:t xml:space="preserve">Для углекислотных огнетушителей</w:t>
      </w:r>
      <w:r>
        <w:t xml:space="preserve"> </w:t>
      </w:r>
      <w:r>
        <w:t xml:space="preserve">дополнительно нужно:</w:t>
      </w:r>
    </w:p>
    <w:p>
      <w:pPr>
        <w:numPr>
          <w:ilvl w:val="0"/>
          <w:numId w:val="1002"/>
        </w:numPr>
        <w:pStyle w:val="Compact"/>
      </w:pPr>
      <w:r>
        <w:t xml:space="preserve">Приблизиться с огнетушителем к очагу пожара (возгорания) на расстояние 2–3 метра.</w:t>
      </w:r>
    </w:p>
    <w:p>
      <w:pPr>
        <w:numPr>
          <w:ilvl w:val="0"/>
          <w:numId w:val="1002"/>
        </w:numPr>
        <w:pStyle w:val="Compact"/>
      </w:pPr>
      <w:r>
        <w:t xml:space="preserve">Направить раструб на огонь.</w:t>
      </w:r>
    </w:p>
    <w:p>
      <w:pPr>
        <w:numPr>
          <w:ilvl w:val="0"/>
          <w:numId w:val="1002"/>
        </w:numPr>
        <w:pStyle w:val="Compact"/>
      </w:pPr>
      <w:r>
        <w:t xml:space="preserve">Снять пломбу и выдернуть предохранительную чеку.</w:t>
      </w:r>
    </w:p>
    <w:p>
      <w:pPr>
        <w:numPr>
          <w:ilvl w:val="0"/>
          <w:numId w:val="1002"/>
        </w:numPr>
        <w:pStyle w:val="Compact"/>
      </w:pPr>
      <w:r>
        <w:t xml:space="preserve">Нажать на клавишу рукоятки или открыть запорное устройство до упора (в зависимости от модификации огнетушителя и завода-изготовителя).</w:t>
      </w:r>
    </w:p>
    <w:p>
      <w:pPr>
        <w:numPr>
          <w:ilvl w:val="0"/>
          <w:numId w:val="1002"/>
        </w:numPr>
        <w:pStyle w:val="Compact"/>
      </w:pPr>
      <w:r>
        <w:t xml:space="preserve">По окончании тушения пожара (огня) отпустить рычаг (закрыть вентиль).</w:t>
      </w:r>
    </w:p>
    <w:p>
      <w:pPr>
        <w:pStyle w:val="FirstParagraph"/>
      </w:pPr>
      <w:r>
        <w:t xml:space="preserve">Во время тушения пожара огнетушитель следует держать вертикально, так как горизонтальное положение не обеспечивает полного использования его заряда.в</w:t>
      </w:r>
    </w:p>
    <w:p>
      <w:pPr>
        <w:pStyle w:val="BodyText"/>
      </w:pPr>
      <w:r>
        <w:rPr>
          <w:bCs/>
          <w:b/>
        </w:rPr>
        <w:t xml:space="preserve">1 РОНПР Управления СВАО ГУ МЧС России по г. Москве</w:t>
      </w:r>
      <w:r>
        <w:t xml:space="preserve"> </w:t>
      </w:r>
      <w:r>
        <w:t xml:space="preserve">напоминает: если не удаётся самостоятельно справиться с пожаром, необходимо немедленно позвонить в службу 112.если не удаётся самостоятельно справиться с пожаром, необходимо немедленно позвонить в службу спасения.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http://losinka.mos.ru/about/test44/novosti-123/new_1/detail/12791602.html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about/test44/novosti-123/new_1/detail/12791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about/test44/novosti-123/new_1/detail/12791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2025-07-16T20:54:46Z</dcterms:created>
  <dcterms:modified xsi:type="dcterms:W3CDTF">2025-07-16T20:54:46Z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